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DB9" w:rsidRPr="00B55DB9" w:rsidRDefault="00B55DB9" w:rsidP="00B55DB9">
      <w:pPr>
        <w:shd w:val="clear" w:color="auto" w:fill="FBEED0"/>
        <w:spacing w:after="0" w:line="240" w:lineRule="auto"/>
        <w:jc w:val="center"/>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fldChar w:fldCharType="begin"/>
      </w:r>
      <w:r w:rsidRPr="00B55DB9">
        <w:rPr>
          <w:rFonts w:ascii="Verdana" w:eastAsia="Times New Roman" w:hAnsi="Verdana" w:cs="Times New Roman"/>
          <w:b/>
          <w:bCs/>
          <w:color w:val="000000"/>
          <w:sz w:val="19"/>
          <w:szCs w:val="19"/>
          <w:lang w:eastAsia="ru-RU"/>
        </w:rPr>
        <w:instrText xml:space="preserve"> HYPERLINK "http://www.vetlek.ru/shop/?gid=1472&amp;id=6549" </w:instrText>
      </w:r>
      <w:r w:rsidRPr="00B55DB9">
        <w:rPr>
          <w:rFonts w:ascii="Verdana" w:eastAsia="Times New Roman" w:hAnsi="Verdana" w:cs="Times New Roman"/>
          <w:b/>
          <w:bCs/>
          <w:color w:val="000000"/>
          <w:sz w:val="19"/>
          <w:szCs w:val="19"/>
          <w:lang w:eastAsia="ru-RU"/>
        </w:rPr>
        <w:fldChar w:fldCharType="separate"/>
      </w:r>
      <w:r w:rsidRPr="00B55DB9">
        <w:rPr>
          <w:rFonts w:ascii="Verdana" w:eastAsia="Times New Roman" w:hAnsi="Verdana" w:cs="Times New Roman"/>
          <w:b/>
          <w:bCs/>
          <w:color w:val="0000FF"/>
          <w:sz w:val="19"/>
          <w:szCs w:val="19"/>
          <w:lang w:eastAsia="ru-RU"/>
        </w:rPr>
        <w:t>ДЕФТОРФОСФАТ</w:t>
      </w:r>
      <w:r w:rsidRPr="00B55DB9">
        <w:rPr>
          <w:rFonts w:ascii="Verdana" w:eastAsia="Times New Roman" w:hAnsi="Verdana" w:cs="Times New Roman"/>
          <w:b/>
          <w:bCs/>
          <w:color w:val="000000"/>
          <w:sz w:val="19"/>
          <w:szCs w:val="19"/>
          <w:lang w:eastAsia="ru-RU"/>
        </w:rPr>
        <w:fldChar w:fldCharType="end"/>
      </w:r>
      <w:r w:rsidRPr="00B55DB9">
        <w:rPr>
          <w:rFonts w:ascii="Verdana" w:eastAsia="Times New Roman" w:hAnsi="Verdana" w:cs="Times New Roman"/>
          <w:b/>
          <w:bCs/>
          <w:color w:val="000000"/>
          <w:sz w:val="19"/>
          <w:szCs w:val="19"/>
          <w:lang w:eastAsia="ru-RU"/>
        </w:rPr>
        <w:t> (</w:t>
      </w:r>
      <w:proofErr w:type="spellStart"/>
      <w:r w:rsidRPr="00B55DB9">
        <w:rPr>
          <w:rFonts w:ascii="Verdana" w:eastAsia="Times New Roman" w:hAnsi="Verdana" w:cs="Times New Roman"/>
          <w:b/>
          <w:bCs/>
          <w:color w:val="000000"/>
          <w:sz w:val="19"/>
          <w:szCs w:val="19"/>
          <w:lang w:eastAsia="ru-RU"/>
        </w:rPr>
        <w:t>Трикальцийфосфат</w:t>
      </w:r>
      <w:proofErr w:type="spellEnd"/>
      <w:r w:rsidRPr="00B55DB9">
        <w:rPr>
          <w:rFonts w:ascii="Verdana" w:eastAsia="Times New Roman" w:hAnsi="Verdana" w:cs="Times New Roman"/>
          <w:b/>
          <w:bCs/>
          <w:color w:val="000000"/>
          <w:sz w:val="19"/>
          <w:szCs w:val="19"/>
          <w:lang w:eastAsia="ru-RU"/>
        </w:rPr>
        <w:t xml:space="preserve"> </w:t>
      </w:r>
      <w:proofErr w:type="spellStart"/>
      <w:r w:rsidRPr="00B55DB9">
        <w:rPr>
          <w:rFonts w:ascii="Verdana" w:eastAsia="Times New Roman" w:hAnsi="Verdana" w:cs="Times New Roman"/>
          <w:b/>
          <w:bCs/>
          <w:color w:val="000000"/>
          <w:sz w:val="19"/>
          <w:szCs w:val="19"/>
          <w:lang w:eastAsia="ru-RU"/>
        </w:rPr>
        <w:t>дефторированный</w:t>
      </w:r>
      <w:proofErr w:type="spellEnd"/>
      <w:r w:rsidRPr="00B55DB9">
        <w:rPr>
          <w:rFonts w:ascii="Verdana" w:eastAsia="Times New Roman" w:hAnsi="Verdana" w:cs="Times New Roman"/>
          <w:b/>
          <w:bCs/>
          <w:color w:val="000000"/>
          <w:sz w:val="19"/>
          <w:szCs w:val="19"/>
          <w:lang w:eastAsia="ru-RU"/>
        </w:rPr>
        <w:t>)</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СОСТАВ И ФОРМА ВЫПУСКА</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xml:space="preserve">Кормовая добавка </w:t>
      </w:r>
      <w:proofErr w:type="spellStart"/>
      <w:r w:rsidRPr="00B55DB9">
        <w:rPr>
          <w:rFonts w:ascii="Verdana" w:eastAsia="Times New Roman" w:hAnsi="Verdana" w:cs="Times New Roman"/>
          <w:color w:val="000000"/>
          <w:sz w:val="19"/>
          <w:szCs w:val="19"/>
          <w:lang w:eastAsia="ru-RU"/>
        </w:rPr>
        <w:t>дефторфосфат</w:t>
      </w:r>
      <w:proofErr w:type="spellEnd"/>
      <w:r w:rsidRPr="00B55DB9">
        <w:rPr>
          <w:rFonts w:ascii="Verdana" w:eastAsia="Times New Roman" w:hAnsi="Verdana" w:cs="Times New Roman"/>
          <w:color w:val="000000"/>
          <w:sz w:val="19"/>
          <w:szCs w:val="19"/>
          <w:lang w:eastAsia="ru-RU"/>
        </w:rPr>
        <w:t xml:space="preserve"> содержит кальций не менее 30%, фосфор не менее 18%, натрий не менее 5% и вспомогательные компоненты. По внешнему виду представляет собой </w:t>
      </w:r>
      <w:proofErr w:type="spellStart"/>
      <w:r w:rsidRPr="00B55DB9">
        <w:rPr>
          <w:rFonts w:ascii="Verdana" w:eastAsia="Times New Roman" w:hAnsi="Verdana" w:cs="Times New Roman"/>
          <w:color w:val="000000"/>
          <w:sz w:val="19"/>
          <w:szCs w:val="19"/>
          <w:lang w:eastAsia="ru-RU"/>
        </w:rPr>
        <w:t>мелкогранулированный</w:t>
      </w:r>
      <w:proofErr w:type="spellEnd"/>
      <w:r w:rsidRPr="00B55DB9">
        <w:rPr>
          <w:rFonts w:ascii="Verdana" w:eastAsia="Times New Roman" w:hAnsi="Verdana" w:cs="Times New Roman"/>
          <w:color w:val="000000"/>
          <w:sz w:val="19"/>
          <w:szCs w:val="19"/>
          <w:lang w:eastAsia="ru-RU"/>
        </w:rPr>
        <w:t xml:space="preserve"> порошок от светло-серого до темно-коричневого цвета без запаха, практически не растворим в воде. Расфасовывают по 1 кг в полиэтиленовые пакеты.</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ФАРМАКОЛОГИЧЕСКИЕ СВОЙСТВА</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proofErr w:type="spellStart"/>
      <w:r w:rsidRPr="00B55DB9">
        <w:rPr>
          <w:rFonts w:ascii="Verdana" w:eastAsia="Times New Roman" w:hAnsi="Verdana" w:cs="Times New Roman"/>
          <w:color w:val="000000"/>
          <w:sz w:val="19"/>
          <w:szCs w:val="19"/>
          <w:lang w:eastAsia="ru-RU"/>
        </w:rPr>
        <w:t>Дефторфосфат</w:t>
      </w:r>
      <w:proofErr w:type="spellEnd"/>
      <w:r w:rsidRPr="00B55DB9">
        <w:rPr>
          <w:rFonts w:ascii="Verdana" w:eastAsia="Times New Roman" w:hAnsi="Verdana" w:cs="Times New Roman"/>
          <w:color w:val="000000"/>
          <w:sz w:val="19"/>
          <w:szCs w:val="19"/>
          <w:lang w:eastAsia="ru-RU"/>
        </w:rPr>
        <w:t xml:space="preserve"> — природная экологически чистая минеральная добавка, которую производят из натурального сырья апатитового концентрата и фосфорной кислоты с добавлением гидроксида натрия, путем гидротермической переработки методом спекания. Благодаря новой улучшенной формуле </w:t>
      </w:r>
      <w:proofErr w:type="spellStart"/>
      <w:r w:rsidRPr="00B55DB9">
        <w:rPr>
          <w:rFonts w:ascii="Verdana" w:eastAsia="Times New Roman" w:hAnsi="Verdana" w:cs="Times New Roman"/>
          <w:color w:val="000000"/>
          <w:sz w:val="19"/>
          <w:szCs w:val="19"/>
          <w:lang w:eastAsia="ru-RU"/>
        </w:rPr>
        <w:t>лимоннорастворимого</w:t>
      </w:r>
      <w:proofErr w:type="spellEnd"/>
      <w:r w:rsidRPr="00B55DB9">
        <w:rPr>
          <w:rFonts w:ascii="Verdana" w:eastAsia="Times New Roman" w:hAnsi="Verdana" w:cs="Times New Roman"/>
          <w:color w:val="000000"/>
          <w:sz w:val="19"/>
          <w:szCs w:val="19"/>
          <w:lang w:eastAsia="ru-RU"/>
        </w:rPr>
        <w:t xml:space="preserve"> </w:t>
      </w:r>
      <w:proofErr w:type="spellStart"/>
      <w:r w:rsidRPr="00B55DB9">
        <w:rPr>
          <w:rFonts w:ascii="Verdana" w:eastAsia="Times New Roman" w:hAnsi="Verdana" w:cs="Times New Roman"/>
          <w:color w:val="000000"/>
          <w:sz w:val="19"/>
          <w:szCs w:val="19"/>
          <w:lang w:eastAsia="ru-RU"/>
        </w:rPr>
        <w:t>дефторированного</w:t>
      </w:r>
      <w:proofErr w:type="spellEnd"/>
      <w:r w:rsidRPr="00B55DB9">
        <w:rPr>
          <w:rFonts w:ascii="Verdana" w:eastAsia="Times New Roman" w:hAnsi="Verdana" w:cs="Times New Roman"/>
          <w:color w:val="000000"/>
          <w:sz w:val="19"/>
          <w:szCs w:val="19"/>
          <w:lang w:eastAsia="ru-RU"/>
        </w:rPr>
        <w:t xml:space="preserve"> фосфата, добавку можно применять даже при пониженной кислотности желудка (</w:t>
      </w:r>
      <w:proofErr w:type="spellStart"/>
      <w:r w:rsidRPr="00B55DB9">
        <w:rPr>
          <w:rFonts w:ascii="Verdana" w:eastAsia="Times New Roman" w:hAnsi="Verdana" w:cs="Times New Roman"/>
          <w:color w:val="000000"/>
          <w:sz w:val="19"/>
          <w:szCs w:val="19"/>
          <w:lang w:eastAsia="ru-RU"/>
        </w:rPr>
        <w:t>гипо</w:t>
      </w:r>
      <w:proofErr w:type="spellEnd"/>
      <w:r w:rsidRPr="00B55DB9">
        <w:rPr>
          <w:rFonts w:ascii="Verdana" w:eastAsia="Times New Roman" w:hAnsi="Verdana" w:cs="Times New Roman"/>
          <w:color w:val="000000"/>
          <w:sz w:val="19"/>
          <w:szCs w:val="19"/>
          <w:lang w:eastAsia="ru-RU"/>
        </w:rPr>
        <w:t xml:space="preserve">- и </w:t>
      </w:r>
      <w:proofErr w:type="spellStart"/>
      <w:r w:rsidRPr="00B55DB9">
        <w:rPr>
          <w:rFonts w:ascii="Verdana" w:eastAsia="Times New Roman" w:hAnsi="Verdana" w:cs="Times New Roman"/>
          <w:color w:val="000000"/>
          <w:sz w:val="19"/>
          <w:szCs w:val="19"/>
          <w:lang w:eastAsia="ru-RU"/>
        </w:rPr>
        <w:t>ахлоргидрии</w:t>
      </w:r>
      <w:proofErr w:type="spellEnd"/>
      <w:r w:rsidRPr="00B55DB9">
        <w:rPr>
          <w:rFonts w:ascii="Verdana" w:eastAsia="Times New Roman" w:hAnsi="Verdana" w:cs="Times New Roman"/>
          <w:color w:val="000000"/>
          <w:sz w:val="19"/>
          <w:szCs w:val="19"/>
          <w:lang w:eastAsia="ru-RU"/>
        </w:rPr>
        <w:t xml:space="preserve">). Кальций как макроэлемент необходим организму животного для построения клеточных мембран. Он участвует в проведении нервного импульса, в инициации мышечного сокращения за счет образования </w:t>
      </w:r>
      <w:proofErr w:type="spellStart"/>
      <w:r w:rsidRPr="00B55DB9">
        <w:rPr>
          <w:rFonts w:ascii="Verdana" w:eastAsia="Times New Roman" w:hAnsi="Verdana" w:cs="Times New Roman"/>
          <w:color w:val="000000"/>
          <w:sz w:val="19"/>
          <w:szCs w:val="19"/>
          <w:lang w:eastAsia="ru-RU"/>
        </w:rPr>
        <w:t>актино-миозинового</w:t>
      </w:r>
      <w:proofErr w:type="spellEnd"/>
      <w:r w:rsidRPr="00B55DB9">
        <w:rPr>
          <w:rFonts w:ascii="Verdana" w:eastAsia="Times New Roman" w:hAnsi="Verdana" w:cs="Times New Roman"/>
          <w:color w:val="000000"/>
          <w:sz w:val="19"/>
          <w:szCs w:val="19"/>
          <w:lang w:eastAsia="ru-RU"/>
        </w:rPr>
        <w:t xml:space="preserve"> комплекса, является одним из факторов </w:t>
      </w:r>
      <w:proofErr w:type="spellStart"/>
      <w:r w:rsidRPr="00B55DB9">
        <w:rPr>
          <w:rFonts w:ascii="Verdana" w:eastAsia="Times New Roman" w:hAnsi="Verdana" w:cs="Times New Roman"/>
          <w:color w:val="000000"/>
          <w:sz w:val="19"/>
          <w:szCs w:val="19"/>
          <w:lang w:eastAsia="ru-RU"/>
        </w:rPr>
        <w:t>гемокоагуляции</w:t>
      </w:r>
      <w:proofErr w:type="spellEnd"/>
      <w:r w:rsidRPr="00B55DB9">
        <w:rPr>
          <w:rFonts w:ascii="Verdana" w:eastAsia="Times New Roman" w:hAnsi="Verdana" w:cs="Times New Roman"/>
          <w:color w:val="000000"/>
          <w:sz w:val="19"/>
          <w:szCs w:val="19"/>
          <w:lang w:eastAsia="ru-RU"/>
        </w:rPr>
        <w:t xml:space="preserve"> и </w:t>
      </w:r>
      <w:proofErr w:type="spellStart"/>
      <w:r w:rsidRPr="00B55DB9">
        <w:rPr>
          <w:rFonts w:ascii="Verdana" w:eastAsia="Times New Roman" w:hAnsi="Verdana" w:cs="Times New Roman"/>
          <w:color w:val="000000"/>
          <w:sz w:val="19"/>
          <w:szCs w:val="19"/>
          <w:lang w:eastAsia="ru-RU"/>
        </w:rPr>
        <w:t>гемопоэза</w:t>
      </w:r>
      <w:proofErr w:type="spellEnd"/>
      <w:r w:rsidRPr="00B55DB9">
        <w:rPr>
          <w:rFonts w:ascii="Verdana" w:eastAsia="Times New Roman" w:hAnsi="Verdana" w:cs="Times New Roman"/>
          <w:color w:val="000000"/>
          <w:sz w:val="19"/>
          <w:szCs w:val="19"/>
          <w:lang w:eastAsia="ru-RU"/>
        </w:rPr>
        <w:t xml:space="preserve">, активирует вместе с инсулином проникновение глюкозы в клетки. Кальций формирует костную ткань (до 98% всего кальция), поддерживает мышечный тонус, предупреждает преждевременное развитие остеопороза, остеомаляции, послеродовой эклампсии и пареза у коров, способствует правильному формированию опорно-двигательной системы, что особенно актуально для молодняка животных и птиц. Кальций входит в состав различных ферментных систем, катализирующих биохимические реакции в организме, кроме того повышает неспецифическую резистентность животного. При использовании добавки у продуктивных животных увеличивается среднесуточный привес мышечной массы, улучшается качество и выход мясной продукции на 7-8,6%, молока — 10-14%, у птиц повышается яйценоскость в среднем на 20%, а также сохранность яиц и диетические свойства готового продукта. Процесс всасывания и резорбции кальция в организме тесно связан с поступлением фосфора и витамина Д, при оптимальном соотношении этих элементов усвоение их максимальное. Неорганические соединения фосфора играют существенную роль в поддержании кислотно-щелочного равновесия. Фосфор входит в состав важнейших органических </w:t>
      </w:r>
      <w:proofErr w:type="spellStart"/>
      <w:r w:rsidRPr="00B55DB9">
        <w:rPr>
          <w:rFonts w:ascii="Verdana" w:eastAsia="Times New Roman" w:hAnsi="Verdana" w:cs="Times New Roman"/>
          <w:color w:val="000000"/>
          <w:sz w:val="19"/>
          <w:szCs w:val="19"/>
          <w:lang w:eastAsia="ru-RU"/>
        </w:rPr>
        <w:t>фосфорилированных</w:t>
      </w:r>
      <w:proofErr w:type="spellEnd"/>
      <w:r w:rsidRPr="00B55DB9">
        <w:rPr>
          <w:rFonts w:ascii="Verdana" w:eastAsia="Times New Roman" w:hAnsi="Verdana" w:cs="Times New Roman"/>
          <w:color w:val="000000"/>
          <w:sz w:val="19"/>
          <w:szCs w:val="19"/>
          <w:lang w:eastAsia="ru-RU"/>
        </w:rPr>
        <w:t xml:space="preserve"> соединений организма, таких как нуклеотиды, нуклеиновые кислоты, фосфолипиды, </w:t>
      </w:r>
      <w:proofErr w:type="spellStart"/>
      <w:r w:rsidRPr="00B55DB9">
        <w:rPr>
          <w:rFonts w:ascii="Verdana" w:eastAsia="Times New Roman" w:hAnsi="Verdana" w:cs="Times New Roman"/>
          <w:color w:val="000000"/>
          <w:sz w:val="19"/>
          <w:szCs w:val="19"/>
          <w:lang w:eastAsia="ru-RU"/>
        </w:rPr>
        <w:t>фосфопротеиды</w:t>
      </w:r>
      <w:proofErr w:type="spellEnd"/>
      <w:r w:rsidRPr="00B55DB9">
        <w:rPr>
          <w:rFonts w:ascii="Verdana" w:eastAsia="Times New Roman" w:hAnsi="Verdana" w:cs="Times New Roman"/>
          <w:color w:val="000000"/>
          <w:sz w:val="19"/>
          <w:szCs w:val="19"/>
          <w:lang w:eastAsia="ru-RU"/>
        </w:rPr>
        <w:t xml:space="preserve">, витамины, коферменты и другие соединения, участвующие в различных метаболических процессах. Благодаря особенностям химического строения, атомы фосфора способны к образованию богатых энергией связей в макроэргических соединениях — аденозинтрифосфорная кислота (АТФ), </w:t>
      </w:r>
      <w:proofErr w:type="spellStart"/>
      <w:r w:rsidRPr="00B55DB9">
        <w:rPr>
          <w:rFonts w:ascii="Verdana" w:eastAsia="Times New Roman" w:hAnsi="Verdana" w:cs="Times New Roman"/>
          <w:color w:val="000000"/>
          <w:sz w:val="19"/>
          <w:szCs w:val="19"/>
          <w:lang w:eastAsia="ru-RU"/>
        </w:rPr>
        <w:t>креатинфосфат</w:t>
      </w:r>
      <w:proofErr w:type="spellEnd"/>
      <w:r w:rsidRPr="00B55DB9">
        <w:rPr>
          <w:rFonts w:ascii="Verdana" w:eastAsia="Times New Roman" w:hAnsi="Verdana" w:cs="Times New Roman"/>
          <w:color w:val="000000"/>
          <w:sz w:val="19"/>
          <w:szCs w:val="19"/>
          <w:lang w:eastAsia="ru-RU"/>
        </w:rPr>
        <w:t xml:space="preserve"> и др. В процессе биологической эволюции фосфорные соединения стали универсальными хранителями генетической информации и переносчиками энергии во всех живых системах. По степени воздействия на организм теплокровных животных кормовая добавка относится к малоопасным веществам.</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ПОКАЗАНИЯ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Назначают с целью обогащения и балансирования рационов кормления животных и птицы кальцием и фосфором. Для повышения качества и количества получаемой животноводческой продукции.</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ДОЗЫ И СПОСОБ ПРИМЕНЕНИЯ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Кормовую добавку применяют животным и птице внутрь в смеси с сухими кормами или влажными мешанками, измельченными корнеплодами в соответствии с приведенными ниже суточными нормами расхода (грамм) на одну голову: коровы дойные — 50-200, коровы сухостойные — 50-120, быки-производители — 60-130, молодняк крупного рогатого скота до 1 года — 15-70, старше года — 40-80, свиноматки — 40-80, подсвинки — 15-35, куры — 2-3, голуби — 1-2, лошади — 50-100, жеребята — 20-40. Животных адаптируют к кормовой добавке в течение 3-5 дней, постепенно увеличивая ее количество в рационе до указанных выше норм.</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ПОБОЧНЫЕ ДЕЙСТВИЯ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При правильном использовании кормовой добавки, побочные явления, как правило, не наблюдаются.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ПРОТИВОПОКАЗАНИЯ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Повышенная индивидуальная чувствительность к компонентам добавки.</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lastRenderedPageBreak/>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ОСОБЫЕ УКАЗАНИЯ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При случайном попадании на кожу или слизистые оболочки глаз рекомендуется тотчас промыть их большим количеством воды, при заглатывании добавки внутрь животному необходимо дать несколько стаканов воды. По окончании манипуляций руки рекомендуется тщательно промыть водой с мылом. Продукцию от животных, которые получали добавку, разрешено использовать без каких-либо ограничений.</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УСЛОВИЯ ХРАНЕНИЯ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В сухом, недоступном для детей и животных месте, отдельно от продуктов питания и ядохимикатов. Срок годности — не ограничен.</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b/>
          <w:bCs/>
          <w:color w:val="000000"/>
          <w:sz w:val="19"/>
          <w:szCs w:val="19"/>
          <w:lang w:eastAsia="ru-RU"/>
        </w:rPr>
        <w:t>ПРОИЗВОДИТЕЛЬ</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ООО «ПГ «Фосфорит», Россия.</w:t>
      </w:r>
    </w:p>
    <w:p w:rsidR="00B55DB9" w:rsidRPr="00B55DB9" w:rsidRDefault="00B55DB9" w:rsidP="00B55DB9">
      <w:pPr>
        <w:shd w:val="clear" w:color="auto" w:fill="FBEED0"/>
        <w:spacing w:after="0" w:line="240" w:lineRule="auto"/>
        <w:rPr>
          <w:rFonts w:ascii="Verdana" w:eastAsia="Times New Roman" w:hAnsi="Verdana" w:cs="Times New Roman"/>
          <w:color w:val="000000"/>
          <w:sz w:val="19"/>
          <w:szCs w:val="19"/>
          <w:lang w:eastAsia="ru-RU"/>
        </w:rPr>
      </w:pPr>
      <w:r w:rsidRPr="00B55DB9">
        <w:rPr>
          <w:rFonts w:ascii="Verdana" w:eastAsia="Times New Roman" w:hAnsi="Verdana" w:cs="Times New Roman"/>
          <w:color w:val="000000"/>
          <w:sz w:val="19"/>
          <w:szCs w:val="19"/>
          <w:lang w:eastAsia="ru-RU"/>
        </w:rPr>
        <w:t xml:space="preserve">Адрес: 188452, г. Кингисепп, Ленинградская обл., </w:t>
      </w:r>
      <w:proofErr w:type="spellStart"/>
      <w:r w:rsidRPr="00B55DB9">
        <w:rPr>
          <w:rFonts w:ascii="Verdana" w:eastAsia="Times New Roman" w:hAnsi="Verdana" w:cs="Times New Roman"/>
          <w:color w:val="000000"/>
          <w:sz w:val="19"/>
          <w:szCs w:val="19"/>
          <w:lang w:eastAsia="ru-RU"/>
        </w:rPr>
        <w:t>промзона</w:t>
      </w:r>
      <w:proofErr w:type="spellEnd"/>
      <w:r w:rsidRPr="00B55DB9">
        <w:rPr>
          <w:rFonts w:ascii="Verdana" w:eastAsia="Times New Roman" w:hAnsi="Verdana" w:cs="Times New Roman"/>
          <w:color w:val="000000"/>
          <w:sz w:val="19"/>
          <w:szCs w:val="19"/>
          <w:lang w:eastAsia="ru-RU"/>
        </w:rPr>
        <w:t xml:space="preserve"> «Фосфорит».</w:t>
      </w:r>
    </w:p>
    <w:p w:rsidR="000F3FF3" w:rsidRDefault="000F3FF3">
      <w:bookmarkStart w:id="0" w:name="_GoBack"/>
      <w:bookmarkEnd w:id="0"/>
    </w:p>
    <w:sectPr w:rsidR="000F3F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81C"/>
    <w:rsid w:val="000F3FF3"/>
    <w:rsid w:val="0011081C"/>
    <w:rsid w:val="00B55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080B1B-548F-4E17-B901-083976D23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B55DB9"/>
    <w:rPr>
      <w:b/>
      <w:bCs/>
    </w:rPr>
  </w:style>
  <w:style w:type="character" w:styleId="a4">
    <w:name w:val="Hyperlink"/>
    <w:basedOn w:val="a0"/>
    <w:uiPriority w:val="99"/>
    <w:semiHidden/>
    <w:unhideWhenUsed/>
    <w:rsid w:val="00B55D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94380">
      <w:bodyDiv w:val="1"/>
      <w:marLeft w:val="0"/>
      <w:marRight w:val="0"/>
      <w:marTop w:val="0"/>
      <w:marBottom w:val="0"/>
      <w:divBdr>
        <w:top w:val="none" w:sz="0" w:space="0" w:color="auto"/>
        <w:left w:val="none" w:sz="0" w:space="0" w:color="auto"/>
        <w:bottom w:val="none" w:sz="0" w:space="0" w:color="auto"/>
        <w:right w:val="none" w:sz="0" w:space="0" w:color="auto"/>
      </w:divBdr>
      <w:divsChild>
        <w:div w:id="4996588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694</Words>
  <Characters>3960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2025-07-15T09:33:00Z</dcterms:created>
  <dcterms:modified xsi:type="dcterms:W3CDTF">2025-07-15T09:33:00Z</dcterms:modified>
</cp:coreProperties>
</file>