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7"/>
        <w:shd w:val="clear" w:color="auto" w:fill="auto"/>
        <w:spacing w:lineRule="auto" w:line="204"/>
        <w:jc w:val="center"/>
        <w:rPr>
          <w:sz w:val="16"/>
          <w:szCs w:val="16"/>
        </w:rPr>
      </w:pPr>
      <w:r>
        <w:rPr>
          <w:sz w:val="16"/>
          <w:szCs w:val="16"/>
        </w:rPr>
        <w:t>Инструкция</w:t>
      </w:r>
    </w:p>
    <w:p>
      <w:pPr>
        <w:pStyle w:val="Style17"/>
        <w:shd w:val="clear" w:color="auto" w:fill="auto"/>
        <w:spacing w:lineRule="auto" w:line="220"/>
        <w:jc w:val="center"/>
        <w:rPr>
          <w:sz w:val="16"/>
          <w:szCs w:val="16"/>
        </w:rPr>
      </w:pPr>
      <w:r>
        <w:rPr>
          <w:sz w:val="16"/>
          <w:szCs w:val="16"/>
        </w:rPr>
        <w:t>по ветеринарному применению лекарственного препарата Фенпраз таблетки.</w:t>
        <w:br/>
        <w:t>(Организация-разработчик - АО «Агробиопром»,</w:t>
        <w:br/>
        <w:t xml:space="preserve">105064, Россия, </w:t>
      </w:r>
      <w:r>
        <w:rPr>
          <w:b/>
          <w:bCs/>
          <w:i/>
          <w:iCs/>
          <w:sz w:val="16"/>
          <w:szCs w:val="16"/>
        </w:rPr>
        <w:t>г.</w:t>
      </w:r>
      <w:r>
        <w:rPr>
          <w:sz w:val="16"/>
          <w:szCs w:val="16"/>
        </w:rPr>
        <w:t xml:space="preserve"> Москва, ул. Казакова, д. 6, стр.1, Э. 3, пом. XIII).</w:t>
      </w:r>
    </w:p>
    <w:p>
      <w:pPr>
        <w:pStyle w:val="Style17"/>
        <w:shd w:val="clear" w:color="auto" w:fill="auto"/>
        <w:spacing w:lineRule="auto" w:line="220" w:before="0" w:after="360"/>
        <w:ind w:left="2900" w:hanging="0"/>
        <w:rPr>
          <w:sz w:val="16"/>
          <w:szCs w:val="16"/>
        </w:rPr>
      </w:pPr>
      <w:r>
        <w:rPr>
          <w:sz w:val="16"/>
          <w:szCs w:val="16"/>
        </w:rPr>
        <w:t>Для ветеринарного применения.</w:t>
      </w:r>
    </w:p>
    <w:p>
      <w:pPr>
        <w:pStyle w:val="Style17"/>
        <w:shd w:val="clear" w:color="auto" w:fill="auto"/>
        <w:spacing w:lineRule="auto" w:line="240"/>
        <w:jc w:val="center"/>
        <w:rPr>
          <w:sz w:val="16"/>
          <w:szCs w:val="16"/>
        </w:rPr>
      </w:pPr>
      <w:r>
        <w:rPr>
          <w:sz w:val="16"/>
          <w:szCs w:val="16"/>
        </w:rPr>
        <w:t>Общие сведения</w:t>
      </w:r>
    </w:p>
    <w:p>
      <w:pPr>
        <w:pStyle w:val="Style17"/>
        <w:shd w:val="clear" w:color="auto" w:fill="auto"/>
        <w:spacing w:lineRule="auto" w:line="240"/>
        <w:rPr>
          <w:sz w:val="16"/>
          <w:szCs w:val="16"/>
        </w:rPr>
      </w:pPr>
      <w:r>
        <w:rPr>
          <w:color w:val="823E2A"/>
          <w:sz w:val="16"/>
          <w:szCs w:val="16"/>
        </w:rPr>
        <w:t xml:space="preserve">Регистрационный номер: </w:t>
      </w:r>
      <w:r>
        <w:rPr>
          <w:sz w:val="16"/>
          <w:szCs w:val="16"/>
        </w:rPr>
        <w:t>77-3-9.20-4б67№ПВР-3-9.20/03556</w:t>
      </w:r>
    </w:p>
    <w:p>
      <w:pPr>
        <w:pStyle w:val="Style17"/>
        <w:shd w:val="clear" w:color="auto" w:fill="auto"/>
        <w:spacing w:lineRule="auto" w:line="240"/>
        <w:rPr>
          <w:sz w:val="16"/>
          <w:szCs w:val="16"/>
        </w:rPr>
      </w:pPr>
      <w:r>
        <w:rPr>
          <w:color w:val="823E2A"/>
          <w:sz w:val="16"/>
          <w:szCs w:val="16"/>
        </w:rPr>
        <w:t xml:space="preserve">Международное непатентованное наименование: </w:t>
      </w:r>
      <w:r>
        <w:rPr>
          <w:sz w:val="16"/>
          <w:szCs w:val="16"/>
        </w:rPr>
        <w:t>фенбендазол, пирантел, празиквантел.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color w:val="823E2A"/>
          <w:sz w:val="16"/>
          <w:szCs w:val="16"/>
        </w:rPr>
        <w:t>Состав и форма выпуска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Фенпраз таблетки для собак мелких пород и щенков</w:t>
      </w:r>
      <w:r>
        <w:rPr>
          <w:sz w:val="16"/>
          <w:szCs w:val="16"/>
        </w:rPr>
        <w:t xml:space="preserve"> содержит в 1 таблетке в качестве действующих веществ фенбендазол - 75 мг, пирантела памоат - 70 мг, празиквантел - 25 мг.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фенпраз таблетки для собак средних пород и щенков</w:t>
      </w:r>
      <w:r>
        <w:rPr>
          <w:sz w:val="16"/>
          <w:szCs w:val="16"/>
        </w:rPr>
        <w:t xml:space="preserve"> содержит в 1 таблетке в качестве действующих веществ фенбендазол -120 мг, пирантела памоат - 112 мг, празиквантел - 40 мг.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Фенпраз таблетки для собак крупных пород и щенков</w:t>
      </w:r>
      <w:r>
        <w:rPr>
          <w:sz w:val="16"/>
          <w:szCs w:val="16"/>
        </w:rPr>
        <w:t xml:space="preserve"> содержит в 1 таблетке в качестве действующих веществ фенбендазол - 225 мг, пирантела памоат - 210 мг, празиквантел - 75 мг.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b/>
          <w:bCs/>
          <w:i/>
          <w:iCs/>
          <w:sz w:val="16"/>
          <w:szCs w:val="16"/>
        </w:rPr>
        <w:t>Фенпраз таблетки для кошек и котят</w:t>
      </w:r>
      <w:r>
        <w:rPr>
          <w:sz w:val="16"/>
          <w:szCs w:val="16"/>
        </w:rPr>
        <w:t xml:space="preserve"> содержит в 1 таблетке в качестве действующих веществ фенбендазол - 60 мг, пирантела памоат - 56 мг, празиквантел - 20 мг.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В качестве вспомогательных веществ лекарственный препарат содержит кукурузный крахмал, стеарат кальция, микрокристаллическую целлюлозу, лактозу. По внешнему виду лекарственный препарат представляет собой таблетки светло-желтого цвета округлой формы.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Лекарственный препарат Фенпраз таблетки выпускают расфасованным по 2, б, 10 штук в блистеры или по б и 10 штук в полимерные флаконы, герметично укупоренные навинчивающимися крышками с контролем первого вскрытия, упакованные в картонные пачки. Каждую потребительскую упаковку снабжают инструкцией по применению и стикерами для ветеринарного паспорта.</w:t>
      </w:r>
    </w:p>
    <w:p>
      <w:pPr>
        <w:pStyle w:val="Style17"/>
        <w:shd w:val="clear" w:color="auto" w:fill="auto"/>
        <w:spacing w:lineRule="auto" w:line="240"/>
        <w:rPr>
          <w:sz w:val="16"/>
          <w:szCs w:val="16"/>
        </w:rPr>
      </w:pPr>
      <w:r>
        <w:rPr>
          <w:color w:val="823E2A"/>
          <w:sz w:val="16"/>
          <w:szCs w:val="16"/>
        </w:rPr>
        <w:t>Лекарственная форма</w:t>
      </w:r>
    </w:p>
    <w:p>
      <w:pPr>
        <w:pStyle w:val="Style17"/>
        <w:shd w:val="clear" w:color="auto" w:fill="auto"/>
        <w:spacing w:lineRule="auto" w:line="264"/>
        <w:rPr>
          <w:sz w:val="16"/>
          <w:szCs w:val="16"/>
        </w:rPr>
      </w:pPr>
      <w:r>
        <w:rPr>
          <w:sz w:val="16"/>
          <w:szCs w:val="16"/>
        </w:rPr>
        <w:t>Таблетки для приема внутрь.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color w:val="823E2A"/>
          <w:sz w:val="16"/>
          <w:szCs w:val="16"/>
        </w:rPr>
        <w:t>Фармакотерапевтическая группа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Фенпраз таблетки относятся к фармакотерапевтической группе антигельминтных лекарственных средств в комбина</w:t>
        <w:softHyphen/>
        <w:t>циях.</w:t>
      </w:r>
    </w:p>
    <w:p>
      <w:pPr>
        <w:pStyle w:val="Style17"/>
        <w:shd w:val="clear" w:color="auto" w:fill="auto"/>
        <w:spacing w:lineRule="auto" w:line="24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17"/>
        <w:shd w:val="clear" w:color="auto" w:fill="auto"/>
        <w:spacing w:lineRule="auto" w:line="240"/>
        <w:jc w:val="center"/>
        <w:rPr>
          <w:sz w:val="16"/>
          <w:szCs w:val="16"/>
        </w:rPr>
      </w:pPr>
      <w:r>
        <w:rPr>
          <w:sz w:val="16"/>
          <w:szCs w:val="16"/>
        </w:rPr>
        <w:t>Фармакологические свойства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color w:val="823E2A"/>
          <w:sz w:val="16"/>
          <w:szCs w:val="16"/>
        </w:rPr>
        <w:t>Фармакодинамика и фармакокинетика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  <w:lang w:val="en-US"/>
        </w:rPr>
      </w:pPr>
      <w:r>
        <w:rPr>
          <w:sz w:val="16"/>
          <w:szCs w:val="16"/>
        </w:rPr>
        <w:t xml:space="preserve">Комбинация входящих в состав лекарственного препарата празиквантела, пирантела памоата и фенбендазола обладает широким спектром антигельминтного действия в отношении круглых и ленточных гельминтов, а также простейших рода лямблий, паразитирующих у собак и кошек, включая </w:t>
      </w:r>
      <w:r>
        <w:rPr>
          <w:sz w:val="16"/>
          <w:szCs w:val="16"/>
          <w:lang w:val="en-US" w:eastAsia="en-US" w:bidi="en-US"/>
        </w:rPr>
        <w:t>Toxocara</w:t>
      </w:r>
      <w:r>
        <w:rPr>
          <w:sz w:val="16"/>
          <w:szCs w:val="16"/>
          <w:lang w:eastAsia="en-US" w:bidi="en-US"/>
        </w:rPr>
        <w:t xml:space="preserve"> </w:t>
      </w:r>
      <w:r>
        <w:rPr>
          <w:sz w:val="16"/>
          <w:szCs w:val="16"/>
          <w:lang w:val="en-US" w:eastAsia="en-US" w:bidi="en-US"/>
        </w:rPr>
        <w:t>canis</w:t>
      </w:r>
      <w:r>
        <w:rPr>
          <w:sz w:val="16"/>
          <w:szCs w:val="16"/>
          <w:lang w:eastAsia="en-US" w:bidi="en-US"/>
        </w:rPr>
        <w:t xml:space="preserve">, </w:t>
      </w:r>
      <w:r>
        <w:rPr>
          <w:sz w:val="16"/>
          <w:szCs w:val="16"/>
          <w:lang w:val="en-US" w:eastAsia="en-US" w:bidi="en-US"/>
        </w:rPr>
        <w:t>Toxascaris</w:t>
      </w:r>
      <w:r>
        <w:rPr>
          <w:sz w:val="16"/>
          <w:szCs w:val="16"/>
          <w:lang w:eastAsia="en-US" w:bidi="en-US"/>
        </w:rPr>
        <w:t xml:space="preserve"> </w:t>
      </w:r>
      <w:r>
        <w:rPr>
          <w:sz w:val="16"/>
          <w:szCs w:val="16"/>
          <w:lang w:val="en-US" w:eastAsia="en-US" w:bidi="en-US"/>
        </w:rPr>
        <w:t>leonina</w:t>
      </w:r>
      <w:r>
        <w:rPr>
          <w:sz w:val="16"/>
          <w:szCs w:val="16"/>
          <w:lang w:eastAsia="en-US" w:bidi="en-US"/>
        </w:rPr>
        <w:t xml:space="preserve">, </w:t>
      </w:r>
      <w:r>
        <w:rPr>
          <w:sz w:val="16"/>
          <w:szCs w:val="16"/>
          <w:lang w:val="en-US" w:eastAsia="en-US" w:bidi="en-US"/>
        </w:rPr>
        <w:t>Uncinaria</w:t>
      </w:r>
      <w:r>
        <w:rPr>
          <w:sz w:val="16"/>
          <w:szCs w:val="16"/>
          <w:lang w:eastAsia="en-US" w:bidi="en-US"/>
        </w:rPr>
        <w:t xml:space="preserve"> </w:t>
      </w:r>
      <w:r>
        <w:rPr>
          <w:sz w:val="16"/>
          <w:szCs w:val="16"/>
          <w:lang w:val="en-US" w:eastAsia="en-US" w:bidi="en-US"/>
        </w:rPr>
        <w:t>stenocephala</w:t>
      </w:r>
      <w:r>
        <w:rPr>
          <w:sz w:val="16"/>
          <w:szCs w:val="16"/>
          <w:lang w:eastAsia="en-US" w:bidi="en-US"/>
        </w:rPr>
        <w:t xml:space="preserve">, </w:t>
      </w:r>
      <w:r>
        <w:rPr>
          <w:sz w:val="16"/>
          <w:szCs w:val="16"/>
          <w:lang w:val="en-US" w:eastAsia="en-US" w:bidi="en-US"/>
        </w:rPr>
        <w:t>Ancylostoma</w:t>
      </w:r>
      <w:r>
        <w:rPr>
          <w:sz w:val="16"/>
          <w:szCs w:val="16"/>
          <w:lang w:eastAsia="en-US" w:bidi="en-US"/>
        </w:rPr>
        <w:t xml:space="preserve"> </w:t>
      </w:r>
      <w:r>
        <w:rPr>
          <w:sz w:val="16"/>
          <w:szCs w:val="16"/>
          <w:lang w:val="en-US" w:eastAsia="en-US" w:bidi="en-US"/>
        </w:rPr>
        <w:t>caninum</w:t>
      </w:r>
      <w:r>
        <w:rPr>
          <w:sz w:val="16"/>
          <w:szCs w:val="16"/>
          <w:lang w:eastAsia="en-US" w:bidi="en-US"/>
        </w:rPr>
        <w:t xml:space="preserve">, </w:t>
      </w:r>
      <w:r>
        <w:rPr>
          <w:sz w:val="16"/>
          <w:szCs w:val="16"/>
          <w:lang w:val="en-US" w:eastAsia="en-US" w:bidi="en-US"/>
        </w:rPr>
        <w:t>Trihuris</w:t>
      </w:r>
      <w:r>
        <w:rPr>
          <w:sz w:val="16"/>
          <w:szCs w:val="16"/>
          <w:lang w:eastAsia="en-US" w:bidi="en-US"/>
        </w:rPr>
        <w:t xml:space="preserve"> </w:t>
      </w:r>
      <w:r>
        <w:rPr>
          <w:sz w:val="16"/>
          <w:szCs w:val="16"/>
          <w:lang w:val="en-US" w:eastAsia="en-US" w:bidi="en-US"/>
        </w:rPr>
        <w:t>vulpis</w:t>
      </w:r>
      <w:r>
        <w:rPr>
          <w:sz w:val="16"/>
          <w:szCs w:val="16"/>
          <w:lang w:eastAsia="en-US" w:bidi="en-US"/>
        </w:rPr>
        <w:t xml:space="preserve">. </w:t>
      </w:r>
      <w:r>
        <w:rPr>
          <w:sz w:val="16"/>
          <w:szCs w:val="16"/>
          <w:lang w:val="en-US" w:eastAsia="en-US" w:bidi="en-US"/>
        </w:rPr>
        <w:t>Echinococcus multilocularis. Echinococcus granulosis, Taenia spp., Dipylidium caninum, Multiceps multiceps, Mesocestoides spp., Giardia spp.</w:t>
      </w:r>
    </w:p>
    <w:p>
      <w:pPr>
        <w:pStyle w:val="Style17"/>
        <w:shd w:val="clear" w:color="auto" w:fill="auto"/>
        <w:spacing w:lineRule="auto" w:line="261"/>
        <w:jc w:val="both"/>
        <w:rPr>
          <w:sz w:val="16"/>
          <w:szCs w:val="16"/>
        </w:rPr>
      </w:pPr>
      <w:r>
        <w:rPr>
          <w:sz w:val="16"/>
          <w:szCs w:val="16"/>
        </w:rPr>
        <w:t>Пирантела памоат-соединение группы пиримидинов, механизм его действия основан на блокаде передачи нервных импульсов в нервно-мышечных синапсах путем деполяризации мембран мышечных клеток, что вызывает паралич мышечной системы нематод. Пирантела памоат плохо всасывается в желудочно-кишечном тракте, что обеспечивает его пролонгированное действие на гельминтов в желудочно-кишечном тракте. Выводится из организма в основном в неизмененном виде с фекалиями (93 %).</w:t>
      </w:r>
    </w:p>
    <w:p>
      <w:pPr>
        <w:pStyle w:val="Style17"/>
        <w:shd w:val="clear" w:color="auto" w:fill="auto"/>
        <w:jc w:val="both"/>
        <w:rPr>
          <w:sz w:val="16"/>
          <w:szCs w:val="16"/>
        </w:rPr>
      </w:pPr>
      <w:r>
        <w:rPr>
          <w:sz w:val="16"/>
          <w:szCs w:val="16"/>
        </w:rPr>
        <w:t>Празиквантел - соединение группы пиразинизохинолинов, механизм его действия основан на индуцировании распада тегумента и ингибировании фумаратредуктазы, стойкой деполяризации мышечных клеток гельминта, нарушении энергетического обмена, что вызывает паралич и гибель нематод и цестод и способствует их выведению из желудочно-кишечного тракта. Празиквантел быстро всасывается в желудочно-кишечном тракте, достигая максимальной концентрации в плазме крови через 1 -3 часа, обратимо связывается с белками сыворотки крови (70-80 %), частично метаболизируется в печени, реэкскретируется в кишечник, выводится из организма в основном с мочой (до 80 %) в течение 24 часов.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Фенбендазол - соединение группы бензимидазола, обладает широким спектром нематодоцидного и цестодоцидного действия, активен в отношении взрослых форм, личинок и яиц нематод желудочно-кишечного тракта и цестод. Механизм действия фенбендазола заключается в разрушении микроканальцев в клетках кишечника гельминтов и нарушении энергетических процессов, что приводит к гибели паразитов. После перорального введения фенбенда</w:t>
        <w:softHyphen/>
        <w:t>зол легко всасывается в кишечнике и распределяется в органах и тканях животного, выделяется из организма как в неизменной форме, так и в виде метаболитов, в основном с желчью и частично с мочой, у лактирующих животных- также с молоком.</w:t>
      </w:r>
    </w:p>
    <w:p>
      <w:pPr>
        <w:pStyle w:val="Style17"/>
        <w:shd w:val="clear" w:color="auto" w:fill="auto"/>
        <w:spacing w:lineRule="auto" w:line="259"/>
        <w:jc w:val="both"/>
        <w:rPr>
          <w:sz w:val="16"/>
          <w:szCs w:val="16"/>
        </w:rPr>
      </w:pPr>
      <w:r>
        <w:rPr>
          <w:sz w:val="16"/>
          <w:szCs w:val="16"/>
        </w:rPr>
        <w:t>Фенпраз таблетки по степени воздействия на организм относятся к умеренно опасным веществам (3 класс опасности по ГОСТ 12.1.007-76), при применении в рекомендуемых дозах хорошо переносятся собаками и кошками разных пород и возрастов.</w:t>
      </w:r>
    </w:p>
    <w:p>
      <w:pPr>
        <w:pStyle w:val="Style17"/>
        <w:shd w:val="clear" w:color="auto" w:fill="auto"/>
        <w:spacing w:lineRule="auto" w:line="240"/>
        <w:rPr>
          <w:sz w:val="16"/>
          <w:szCs w:val="16"/>
        </w:rPr>
      </w:pPr>
      <w:r>
        <w:rPr>
          <w:color w:val="823E2A"/>
          <w:sz w:val="16"/>
          <w:szCs w:val="16"/>
        </w:rPr>
        <w:t>Показания к применению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Лекарственный препарат Фенпраз таблетки назначают собакам и кошкам с 3-недельного возраста с профилактиче</w:t>
        <w:softHyphen/>
        <w:t>ской и лечебной целью при нематодозах (токсокароз, токсаскаридоз, унцинариоз, анкилостомоз, трихоцефалез) и цестодозах желудочно-кишечного тракта (тениидозы, дипилидиоз, эхинококкоз, дифиллоботриоз, мезоцестоидоз) и гиардиозе (лямблиозе), а также смешанных нематодо-цестодозных инвазиях.</w:t>
      </w:r>
    </w:p>
    <w:p>
      <w:pPr>
        <w:pStyle w:val="Style17"/>
        <w:shd w:val="clear" w:color="auto" w:fill="auto"/>
        <w:spacing w:lineRule="auto" w:line="240"/>
        <w:jc w:val="center"/>
        <w:rPr>
          <w:sz w:val="16"/>
          <w:szCs w:val="16"/>
        </w:rPr>
      </w:pPr>
      <w:r>
        <w:rPr>
          <w:sz w:val="16"/>
          <w:szCs w:val="16"/>
        </w:rPr>
        <w:t>Порядок применения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Фенпраз таблетки применяют животным внутрь однократно, индивидуально, в утреннее время с небольшим количеством корма или принудительно вводят на корень языка.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Предварительной голодной диеты и применения слабительных средств не требуется. При дегельминтизации животного рекомендуется проводить дезинфекцию и дезинвазию мест содержания животных во избежание повторного заражения.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С лечебной целью животных дегельминтизируют по показаниям, с профилактической целью - ежеквартально, а также за 10-14 суток перед вакцинацией и за 10 суток до предполагаемых родов в терапевтических дозах, указанных в таблице: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6142" w:type="dxa"/>
        <w:jc w:val="center"/>
        <w:tblInd w:w="0" w:type="dxa"/>
        <w:tblCellMar>
          <w:top w:w="0" w:type="dxa"/>
          <w:left w:w="10" w:type="dxa"/>
          <w:bottom w:w="0" w:type="dxa"/>
          <w:right w:w="10" w:type="dxa"/>
        </w:tblCellMar>
        <w:tblLook w:firstRow="1" w:noVBand="1" w:lastRow="0" w:firstColumn="1" w:lastColumn="0" w:noHBand="0" w:val="04a0"/>
      </w:tblPr>
      <w:tblGrid>
        <w:gridCol w:w="2423"/>
        <w:gridCol w:w="1853"/>
        <w:gridCol w:w="1866"/>
      </w:tblGrid>
      <w:tr>
        <w:trPr>
          <w:trHeight w:val="349" w:hRule="exact"/>
        </w:trPr>
        <w:tc>
          <w:tcPr>
            <w:tcW w:w="2423" w:type="dxa"/>
            <w:tcBorders>
              <w:top w:val="single" w:sz="4" w:space="0" w:color="000000"/>
              <w:left w:val="single" w:sz="4" w:space="0" w:color="000000"/>
            </w:tcBorders>
            <w:shd w:color="auto" w:fill="CCB38C" w:val="clear"/>
            <w:vAlign w:val="cente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Вид животного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CCB38C" w:val="clear"/>
            <w:vAlign w:val="cente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Масса животного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7D8A6" w:val="clear"/>
            <w:vAlign w:val="cente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Доза</w:t>
            </w:r>
          </w:p>
        </w:tc>
      </w:tr>
      <w:tr>
        <w:trPr>
          <w:trHeight w:val="184" w:hRule="exact"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Собаки и щенки мелких пород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2,5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 таблетки</w:t>
            </w:r>
          </w:p>
        </w:tc>
      </w:tr>
      <w:tr>
        <w:trPr>
          <w:trHeight w:val="180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таблетка</w:t>
            </w:r>
          </w:p>
        </w:tc>
      </w:tr>
      <w:tr>
        <w:trPr>
          <w:trHeight w:val="187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таблетки</w:t>
            </w:r>
          </w:p>
        </w:tc>
      </w:tr>
      <w:tr>
        <w:trPr>
          <w:trHeight w:val="187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CCB38C" w:val="clear"/>
          </w:tcPr>
          <w:p>
            <w:pPr>
              <w:pStyle w:val="Other1"/>
              <w:shd w:val="clear" w:color="auto" w:fill="auto"/>
              <w:spacing w:lineRule="auto" w:line="240"/>
              <w:ind w:firstLine="4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Далее -1 таблетка на каждые 5 кг массы животного.</w:t>
            </w:r>
          </w:p>
        </w:tc>
      </w:tr>
      <w:tr>
        <w:trPr>
          <w:trHeight w:val="209" w:hRule="exact"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Собаки и щенки средних пород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2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1/4 таблетки</w:t>
            </w:r>
          </w:p>
        </w:tc>
      </w:tr>
      <w:tr>
        <w:trPr>
          <w:trHeight w:val="173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 таблетки</w:t>
            </w:r>
          </w:p>
        </w:tc>
      </w:tr>
      <w:tr>
        <w:trPr>
          <w:trHeight w:val="191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таблетка</w:t>
            </w:r>
          </w:p>
        </w:tc>
      </w:tr>
      <w:tr>
        <w:trPr>
          <w:trHeight w:val="187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таблетки</w:t>
            </w:r>
          </w:p>
        </w:tc>
      </w:tr>
      <w:tr>
        <w:trPr>
          <w:trHeight w:val="191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CCB38C" w:val="clear"/>
          </w:tcPr>
          <w:p>
            <w:pPr>
              <w:pStyle w:val="Other1"/>
              <w:shd w:val="clear" w:color="auto" w:fill="auto"/>
              <w:spacing w:lineRule="auto" w:line="240"/>
              <w:ind w:firstLine="4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Далее -1 таблетка на каждые 8 кг массы животного.</w:t>
            </w:r>
          </w:p>
        </w:tc>
      </w:tr>
      <w:tr>
        <w:trPr>
          <w:trHeight w:val="184" w:hRule="exact"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Собаки и щенки крупных пород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таблетка</w:t>
            </w:r>
          </w:p>
        </w:tc>
      </w:tr>
      <w:tr>
        <w:trPr>
          <w:trHeight w:val="184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таблетки</w:t>
            </w:r>
          </w:p>
        </w:tc>
      </w:tr>
      <w:tr>
        <w:trPr>
          <w:trHeight w:val="184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таблетки</w:t>
            </w:r>
          </w:p>
        </w:tc>
      </w:tr>
      <w:tr>
        <w:trPr>
          <w:trHeight w:val="194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 таблетки</w:t>
            </w:r>
          </w:p>
        </w:tc>
      </w:tr>
      <w:tr>
        <w:trPr>
          <w:trHeight w:val="187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7D8A6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ind w:firstLine="4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Далее -1 таблетка на каждые 15 кг массы животного.</w:t>
            </w:r>
          </w:p>
        </w:tc>
      </w:tr>
      <w:tr>
        <w:trPr>
          <w:trHeight w:val="180" w:hRule="exact"/>
        </w:trPr>
        <w:tc>
          <w:tcPr>
            <w:tcW w:w="242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Кошки и котята</w:t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1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1/4 таблетки</w:t>
            </w:r>
          </w:p>
        </w:tc>
      </w:tr>
      <w:tr>
        <w:trPr>
          <w:trHeight w:val="187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1-2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1/2 таблетки</w:t>
            </w:r>
          </w:p>
        </w:tc>
      </w:tr>
      <w:tr>
        <w:trPr>
          <w:trHeight w:val="187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2-3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  <w:vAlign w:val="bottom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3/4 таблетки</w:t>
            </w:r>
          </w:p>
        </w:tc>
      </w:tr>
      <w:tr>
        <w:trPr>
          <w:trHeight w:val="191" w:hRule="exact"/>
        </w:trPr>
        <w:tc>
          <w:tcPr>
            <w:tcW w:w="2423" w:type="dxa"/>
            <w:vMerge w:val="continue"/>
            <w:tcBorders>
              <w:lef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1853" w:type="dxa"/>
            <w:tcBorders>
              <w:top w:val="single" w:sz="4" w:space="0" w:color="000000"/>
              <w:lef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3-4 кг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Other1"/>
              <w:shd w:val="clear" w:color="auto" w:fill="auto"/>
              <w:spacing w:lineRule="auto" w:line="2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таблетка</w:t>
            </w:r>
          </w:p>
        </w:tc>
      </w:tr>
      <w:tr>
        <w:trPr>
          <w:trHeight w:val="205" w:hRule="exact"/>
        </w:trPr>
        <w:tc>
          <w:tcPr>
            <w:tcW w:w="242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 w:ascii="Arial" w:hAnsi="Arial"/>
                <w:sz w:val="16"/>
                <w:szCs w:val="16"/>
              </w:rPr>
            </w:r>
          </w:p>
        </w:tc>
        <w:tc>
          <w:tcPr>
            <w:tcW w:w="37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7D8A6" w:val="clear"/>
          </w:tcPr>
          <w:p>
            <w:pPr>
              <w:pStyle w:val="Other1"/>
              <w:shd w:val="clear" w:color="auto" w:fill="auto"/>
              <w:spacing w:lineRule="auto" w:line="240"/>
              <w:ind w:firstLine="40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Далее -1 таблетка на каждые 4 кг массы животного.</w:t>
            </w:r>
          </w:p>
        </w:tc>
      </w:tr>
    </w:tbl>
    <w:p>
      <w:pPr>
        <w:pStyle w:val="Normal"/>
        <w:spacing w:lineRule="exact" w:line="1" w:before="0" w:after="179"/>
        <w:rPr>
          <w:rFonts w:ascii="Arial" w:hAnsi="Arial" w:cs="Arial"/>
          <w:sz w:val="16"/>
          <w:szCs w:val="16"/>
        </w:rPr>
      </w:pPr>
      <w:r>
        <w:rPr>
          <w:rFonts w:cs="Arial" w:ascii="Arial" w:hAnsi="Arial"/>
          <w:sz w:val="16"/>
          <w:szCs w:val="16"/>
        </w:rPr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Для лечения лямблиоза препарат Фенпраз таблетки применяют один раз в день в течение 3-х суток.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Особенностей действия при первом применении лекарственного препарата или при его отмене не выявлено. Следует избегать нарушений доз и курса применения лекарственного препарата, так как это может привести к снижению его эффективности. В случае пропуска очередного применения лекарственного препарата его следует применить как можно скорее в той же дозе и по той же схеме.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color w:val="823E2A"/>
          <w:sz w:val="16"/>
          <w:szCs w:val="16"/>
        </w:rPr>
        <w:t>Побочные явления и осложнения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Побочных явлений и осложнений при применении препарата Фенпраз таблетки в соответствии с настоящей инструкцией, как правило не наблюдается. При повышенной индивидуальной чувствительности животного к компонентам препарата, возможны следующие клинические проявления: повышенная саливация, диарея или рвота. Указанные симптомы кратковременны, самопроизвольно исчезают и не требуют применения других лекарственных средств.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color w:val="823E2A"/>
          <w:sz w:val="16"/>
          <w:szCs w:val="16"/>
        </w:rPr>
        <w:t>Противопоказания</w:t>
      </w:r>
    </w:p>
    <w:p>
      <w:pPr>
        <w:pStyle w:val="Style17"/>
        <w:shd w:val="clear" w:color="auto" w:fill="auto"/>
        <w:spacing w:lineRule="auto" w:line="259"/>
        <w:jc w:val="both"/>
        <w:rPr>
          <w:sz w:val="16"/>
          <w:szCs w:val="16"/>
        </w:rPr>
      </w:pPr>
      <w:r>
        <w:rPr>
          <w:sz w:val="16"/>
          <w:szCs w:val="16"/>
        </w:rPr>
        <w:t>Противопоказанием к применению лекарственного препарата является индивидуальная повышенная чувствительность животного к компонентам лекарственного препарата (в том числе в анамнезе).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Не следует применять лекарственный препарат истощенным, больным инфекционными болезнями и выздоравливающим животным. Возможность применения препарата Фенпраз таблетки самкам в период беременности и вскармливания приплода определяет лечащий ветеринарный врач на основании оценки соотношения пользы и возможного риска его применения. Не допускается дегельминтизация в первой половине беременности и ранее чем через 2-3 недели после родов, а также щенков и котят моложе 3-недельного возраста.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color w:val="823E2A"/>
          <w:sz w:val="16"/>
          <w:szCs w:val="16"/>
        </w:rPr>
        <w:t>Передозировка</w:t>
      </w:r>
    </w:p>
    <w:p>
      <w:pPr>
        <w:pStyle w:val="Style17"/>
        <w:shd w:val="clear" w:color="auto" w:fill="auto"/>
        <w:spacing w:lineRule="auto" w:line="276"/>
        <w:jc w:val="both"/>
        <w:rPr>
          <w:sz w:val="16"/>
          <w:szCs w:val="16"/>
        </w:rPr>
      </w:pPr>
      <w:r>
        <w:rPr>
          <w:sz w:val="16"/>
          <w:szCs w:val="16"/>
        </w:rPr>
        <w:t>При передозировке лекарственного препарата у животного может наблюдаться угнетенное состояние, отказ от корма, избыточное слюноотделение, диарея и рвота. В этом случае проводят симптоматическую терапию.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color w:val="823E2A"/>
          <w:sz w:val="16"/>
          <w:szCs w:val="16"/>
        </w:rPr>
        <w:t>Взаимодействие с другими лекарственными средствами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Фенпраз таблетки не следует применять одновременно с пиперазином, левамизолом и средствами, ингибирующими холинэстеразу, ввиду возможного взаимного усиления токсичности.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color w:val="823E2A"/>
          <w:sz w:val="16"/>
          <w:szCs w:val="16"/>
        </w:rPr>
        <w:t>Особые указания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Фенпраз таблетки не предназначены для применения продуктивным животным.</w:t>
      </w:r>
    </w:p>
    <w:p>
      <w:pPr>
        <w:pStyle w:val="Style17"/>
        <w:shd w:val="clear" w:color="auto" w:fill="auto"/>
        <w:spacing w:lineRule="auto" w:line="240"/>
        <w:ind w:left="2280" w:hanging="0"/>
        <w:jc w:val="both"/>
        <w:rPr>
          <w:sz w:val="16"/>
          <w:szCs w:val="16"/>
        </w:rPr>
      </w:pPr>
      <w:r>
        <w:rPr>
          <w:sz w:val="16"/>
          <w:szCs w:val="16"/>
        </w:rPr>
        <w:t>Меры личной профилактики</w:t>
      </w:r>
    </w:p>
    <w:p>
      <w:pPr>
        <w:pStyle w:val="Style17"/>
        <w:shd w:val="clear" w:color="auto" w:fill="auto"/>
        <w:spacing w:lineRule="auto" w:line="264"/>
        <w:jc w:val="both"/>
        <w:rPr>
          <w:sz w:val="16"/>
          <w:szCs w:val="16"/>
        </w:rPr>
      </w:pPr>
      <w:r>
        <w:rPr>
          <w:sz w:val="16"/>
          <w:szCs w:val="16"/>
        </w:rPr>
        <w:t>При работе с лекарственным препаратом следует соблюдать общие правилаличной гигиены и техники безопасности, предусмотренные при работе с лекарственными средствами для ветеринарного применения. Пустую упаковку из-под лекарственного препарата запрещается использовать для бытовых целей, она подлежит утилизации с бытовыми отходами. При случайном контакте лекарственного препарата с кожей или слизистыми оболочками глаз их необходимо промыть большим количеством воды. Людям с гиперчувствительностью к компонентам лекарственного препарата следует избегать прямого контакта с ним. В случае появления аллергических реакций или при случайном попадании компонентов лекарственного препарата в организм человека следует немедленно обратиться в медицинское учреждение (при себе иметь инструкцию по применению или этикетку).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color w:val="823E2A"/>
          <w:sz w:val="16"/>
          <w:szCs w:val="16"/>
        </w:rPr>
        <w:t>Условия хранения</w:t>
      </w:r>
    </w:p>
    <w:p>
      <w:pPr>
        <w:pStyle w:val="Style17"/>
        <w:shd w:val="clear" w:color="auto" w:fill="auto"/>
        <w:spacing w:before="0" w:after="220"/>
        <w:jc w:val="both"/>
        <w:rPr>
          <w:sz w:val="16"/>
          <w:szCs w:val="16"/>
        </w:rPr>
      </w:pPr>
      <w:r>
        <w:rPr>
          <w:sz w:val="16"/>
          <w:szCs w:val="16"/>
        </w:rPr>
        <w:t>Лекарственный препарат хранят в закрытой упаковке производителя, в защищенном от прямых солнечных лучей месте, отдельно от продуктов питания и кормов при температуре от О °C до 25 °C. Срок годности лекарственного препарата при соблюдении условий хранения в закрытой упаковке производителя -3 года от даты производства. Запрещается применение лекарственного препарата по истечении срока годности. Неиспользованный лекарственный препарат утилизируют в соответствии с требованиями законодательства. Лекарственный препарат следует хранить в недоступном для детей месте. Лекарственный препарат Фенпраз таблетки отпускается без рецепта ветеринарного врача.</w:t>
      </w:r>
    </w:p>
    <w:p>
      <w:pPr>
        <w:pStyle w:val="Style17"/>
        <w:shd w:val="clear" w:color="auto" w:fill="auto"/>
        <w:spacing w:lineRule="auto" w:line="240"/>
        <w:jc w:val="both"/>
        <w:rPr>
          <w:sz w:val="16"/>
          <w:szCs w:val="16"/>
        </w:rPr>
      </w:pPr>
      <w:r>
        <w:rPr>
          <w:sz w:val="16"/>
          <w:szCs w:val="16"/>
        </w:rPr>
        <w:t>СТО 18678116-053-2019</w:t>
      </w:r>
    </w:p>
    <w:p>
      <w:pPr>
        <w:pStyle w:val="Style17"/>
        <w:shd w:val="clear" w:color="auto" w:fill="auto"/>
        <w:spacing w:lineRule="auto" w:line="208"/>
        <w:jc w:val="both"/>
        <w:rPr>
          <w:sz w:val="16"/>
          <w:szCs w:val="16"/>
        </w:rPr>
      </w:pPr>
      <w:r>
        <w:rPr>
          <w:sz w:val="16"/>
          <w:szCs w:val="16"/>
        </w:rPr>
        <w:t>Производитель: АО «Агробиопром», РФ.</w:t>
      </w:r>
    </w:p>
    <w:p>
      <w:pPr>
        <w:pStyle w:val="Style17"/>
        <w:shd w:val="clear" w:color="auto" w:fill="auto"/>
        <w:spacing w:lineRule="auto" w:line="204"/>
        <w:jc w:val="both"/>
        <w:rPr>
          <w:sz w:val="16"/>
          <w:szCs w:val="16"/>
        </w:rPr>
      </w:pPr>
      <w:r>
        <w:rPr>
          <w:sz w:val="16"/>
          <w:szCs w:val="16"/>
        </w:rPr>
        <w:t>Адрес производства: 143985, РФ, Московская обл., г. Балашиха,</w:t>
      </w:r>
    </w:p>
    <w:p>
      <w:pPr>
        <w:pStyle w:val="Style17"/>
        <w:shd w:val="clear" w:color="auto" w:fill="auto"/>
        <w:spacing w:lineRule="auto" w:line="225"/>
        <w:jc w:val="both"/>
        <w:rPr>
          <w:sz w:val="16"/>
          <w:szCs w:val="16"/>
        </w:rPr>
      </w:pPr>
      <w:r>
        <w:rPr>
          <w:sz w:val="16"/>
          <w:szCs w:val="16"/>
        </w:rPr>
        <w:t>Полтевское шоссе, владение 4</w:t>
      </w:r>
    </w:p>
    <w:p>
      <w:pPr>
        <w:pStyle w:val="Style17"/>
        <w:shd w:val="clear" w:color="auto" w:fill="auto"/>
        <w:spacing w:lineRule="auto" w:line="225"/>
        <w:jc w:val="both"/>
        <w:rPr>
          <w:sz w:val="16"/>
          <w:szCs w:val="16"/>
        </w:rPr>
      </w:pPr>
      <w:r>
        <w:rPr>
          <w:sz w:val="16"/>
          <w:szCs w:val="16"/>
        </w:rPr>
        <w:t>тел./факс: +7 (495) 607-50-34, +7 (495) 607-67-81</w:t>
      </w:r>
    </w:p>
    <w:p>
      <w:pPr>
        <w:pStyle w:val="Heading21"/>
        <w:keepNext w:val="true"/>
        <w:keepLines/>
        <w:shd w:val="clear" w:color="auto" w:fill="auto"/>
        <w:spacing w:lineRule="auto" w:line="240"/>
        <w:jc w:val="both"/>
        <w:rPr>
          <w:sz w:val="16"/>
          <w:szCs w:val="16"/>
        </w:rPr>
      </w:pPr>
      <w:hyperlink r:id="rId2">
        <w:bookmarkStart w:id="0" w:name="bookmark13"/>
        <w:bookmarkStart w:id="1" w:name="bookmark14"/>
        <w:bookmarkStart w:id="2" w:name="bookmark15"/>
        <w:r>
          <w:rPr>
            <w:sz w:val="16"/>
            <w:szCs w:val="16"/>
          </w:rPr>
          <w:t>www</w:t>
        </w:r>
        <w:r>
          <w:rPr>
            <w:sz w:val="16"/>
            <w:szCs w:val="16"/>
            <w:lang w:val="ru-RU"/>
          </w:rPr>
          <w:t>.</w:t>
        </w:r>
        <w:r>
          <w:rPr>
            <w:sz w:val="16"/>
            <w:szCs w:val="16"/>
          </w:rPr>
          <w:t>agrobloprom</w:t>
        </w:r>
        <w:r>
          <w:rPr>
            <w:sz w:val="16"/>
            <w:szCs w:val="16"/>
            <w:lang w:val="ru-RU"/>
          </w:rPr>
          <w:t>.</w:t>
        </w:r>
        <w:r>
          <w:rPr>
            <w:sz w:val="16"/>
            <w:szCs w:val="16"/>
          </w:rPr>
          <w:t>com</w:t>
        </w:r>
      </w:hyperlink>
      <w:bookmarkEnd w:id="0"/>
      <w:bookmarkEnd w:id="1"/>
      <w:bookmarkEnd w:id="2"/>
    </w:p>
    <w:sectPr>
      <w:type w:val="nextPage"/>
      <w:pgSz w:w="11906" w:h="16838"/>
      <w:pgMar w:left="1701" w:right="850" w:header="0" w:top="1134" w:footer="0" w:bottom="1134" w:gutter="0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 Unicode MS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doNotExpandShiftReturn/>
  </w:compat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 Unicode MS" w:hAnsi="Arial Unicode MS" w:eastAsia="Arial Unicode MS" w:cs="Arial Unicode MS"/>
        <w:sz w:val="24"/>
        <w:szCs w:val="24"/>
        <w:lang w:val="ru-RU" w:eastAsia="ru-RU" w:bidi="ru-RU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 Unicode MS" w:hAnsi="Arial Unicode MS" w:eastAsia="Arial Unicode MS" w:cs="Arial Unicode MS"/>
      <w:color w:val="000000"/>
      <w:kern w:val="0"/>
      <w:sz w:val="24"/>
      <w:szCs w:val="24"/>
      <w:lang w:val="ru-RU" w:eastAsia="ru-RU" w:bidi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" w:customStyle="1">
    <w:name w:val="Heading #1_"/>
    <w:basedOn w:val="DefaultParagraphFont"/>
    <w:link w:val="Heading10"/>
    <w:qFormat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823E2A"/>
      <w:sz w:val="15"/>
      <w:szCs w:val="15"/>
      <w:u w:val="none"/>
    </w:rPr>
  </w:style>
  <w:style w:type="character" w:styleId="Heading4" w:customStyle="1">
    <w:name w:val="Heading #4_"/>
    <w:basedOn w:val="DefaultParagraphFont"/>
    <w:link w:val="Heading40"/>
    <w:qFormat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9D6D38"/>
      <w:sz w:val="15"/>
      <w:szCs w:val="15"/>
      <w:u w:val="none"/>
      <w:lang w:val="en-US" w:eastAsia="en-US" w:bidi="en-US"/>
    </w:rPr>
  </w:style>
  <w:style w:type="character" w:styleId="Heading5" w:customStyle="1">
    <w:name w:val="Heading #5_"/>
    <w:basedOn w:val="DefaultParagraphFont"/>
    <w:link w:val="Heading50"/>
    <w:qFormat/>
    <w:rPr>
      <w:rFonts w:ascii="Arial" w:hAnsi="Arial" w:eastAsia="Arial" w:cs="Arial"/>
      <w:b/>
      <w:bCs/>
      <w:i w:val="false"/>
      <w:iCs w:val="false"/>
      <w:caps w:val="false"/>
      <w:smallCaps w:val="false"/>
      <w:strike w:val="false"/>
      <w:dstrike w:val="false"/>
      <w:color w:val="823E2A"/>
      <w:sz w:val="15"/>
      <w:szCs w:val="15"/>
      <w:u w:val="none"/>
    </w:rPr>
  </w:style>
  <w:style w:type="character" w:styleId="Style14" w:customStyle="1">
    <w:name w:val="Основной текст Знак"/>
    <w:basedOn w:val="DefaultParagraphFont"/>
    <w:link w:val="a4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11"/>
      <w:szCs w:val="11"/>
      <w:u w:val="none"/>
    </w:rPr>
  </w:style>
  <w:style w:type="character" w:styleId="Other" w:customStyle="1">
    <w:name w:val="Other_"/>
    <w:basedOn w:val="DefaultParagraphFont"/>
    <w:link w:val="Other0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sz w:val="11"/>
      <w:szCs w:val="11"/>
      <w:u w:val="none"/>
    </w:rPr>
  </w:style>
  <w:style w:type="character" w:styleId="Heading2" w:customStyle="1">
    <w:name w:val="Heading #2_"/>
    <w:basedOn w:val="DefaultParagraphFont"/>
    <w:link w:val="Heading20"/>
    <w:qFormat/>
    <w:rPr>
      <w:rFonts w:ascii="Arial" w:hAnsi="Arial" w:eastAsia="Arial" w:cs="Arial"/>
      <w:b w:val="false"/>
      <w:bCs w:val="false"/>
      <w:i w:val="false"/>
      <w:iCs w:val="false"/>
      <w:caps w:val="false"/>
      <w:smallCaps w:val="false"/>
      <w:strike w:val="false"/>
      <w:dstrike w:val="false"/>
      <w:color w:val="3C4661"/>
      <w:sz w:val="19"/>
      <w:szCs w:val="19"/>
      <w:u w:val="none"/>
      <w:lang w:val="en-US" w:eastAsia="en-US" w:bidi="en-US"/>
    </w:rPr>
  </w:style>
  <w:style w:type="character" w:styleId="Style15">
    <w:name w:val="Интернет-ссылка"/>
    <w:rPr>
      <w:color w:val="000080"/>
      <w:u w:val="single"/>
      <w:lang w:val="zxx" w:eastAsia="zxx" w:bidi="zxx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link w:val="a3"/>
    <w:qFormat/>
    <w:pPr>
      <w:shd w:val="clear" w:color="auto" w:fill="FFFFFF"/>
      <w:spacing w:lineRule="auto" w:line="271"/>
    </w:pPr>
    <w:rPr>
      <w:rFonts w:ascii="Arial" w:hAnsi="Arial" w:eastAsia="Arial" w:cs="Arial"/>
      <w:sz w:val="11"/>
      <w:szCs w:val="11"/>
    </w:rPr>
  </w:style>
  <w:style w:type="paragraph" w:styleId="Style18">
    <w:name w:val="List"/>
    <w:basedOn w:val="Style17"/>
    <w:pPr>
      <w:shd w:fill="FFFFFF" w:val="clear"/>
    </w:pPr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Heading11" w:customStyle="1">
    <w:name w:val="Heading #1"/>
    <w:basedOn w:val="Normal"/>
    <w:link w:val="Heading1"/>
    <w:qFormat/>
    <w:pPr>
      <w:shd w:val="clear" w:color="auto" w:fill="FFFFFF"/>
      <w:jc w:val="center"/>
      <w:outlineLvl w:val="0"/>
    </w:pPr>
    <w:rPr>
      <w:rFonts w:ascii="Arial" w:hAnsi="Arial" w:eastAsia="Arial" w:cs="Arial"/>
      <w:b/>
      <w:bCs/>
      <w:color w:val="823E2A"/>
      <w:sz w:val="15"/>
      <w:szCs w:val="15"/>
    </w:rPr>
  </w:style>
  <w:style w:type="paragraph" w:styleId="Heading41" w:customStyle="1">
    <w:name w:val="Heading #4"/>
    <w:basedOn w:val="Normal"/>
    <w:link w:val="Heading4"/>
    <w:qFormat/>
    <w:pPr>
      <w:shd w:val="clear" w:color="auto" w:fill="FFFFFF"/>
      <w:outlineLvl w:val="3"/>
    </w:pPr>
    <w:rPr>
      <w:rFonts w:ascii="Arial" w:hAnsi="Arial" w:eastAsia="Arial" w:cs="Arial"/>
      <w:b/>
      <w:bCs/>
      <w:color w:val="9D6D38"/>
      <w:sz w:val="15"/>
      <w:szCs w:val="15"/>
      <w:lang w:val="en-US" w:eastAsia="en-US" w:bidi="en-US"/>
    </w:rPr>
  </w:style>
  <w:style w:type="paragraph" w:styleId="Heading51" w:customStyle="1">
    <w:name w:val="Heading #5"/>
    <w:basedOn w:val="Normal"/>
    <w:link w:val="Heading5"/>
    <w:qFormat/>
    <w:pPr>
      <w:shd w:val="clear" w:color="auto" w:fill="FFFFFF"/>
      <w:outlineLvl w:val="4"/>
    </w:pPr>
    <w:rPr>
      <w:rFonts w:ascii="Arial" w:hAnsi="Arial" w:eastAsia="Arial" w:cs="Arial"/>
      <w:b/>
      <w:bCs/>
      <w:color w:val="823E2A"/>
      <w:sz w:val="15"/>
      <w:szCs w:val="15"/>
    </w:rPr>
  </w:style>
  <w:style w:type="paragraph" w:styleId="Other1" w:customStyle="1">
    <w:name w:val="Other"/>
    <w:basedOn w:val="Normal"/>
    <w:link w:val="Other"/>
    <w:qFormat/>
    <w:pPr>
      <w:shd w:val="clear" w:color="auto" w:fill="FFFFFF"/>
      <w:spacing w:lineRule="auto" w:line="271"/>
    </w:pPr>
    <w:rPr>
      <w:rFonts w:ascii="Arial" w:hAnsi="Arial" w:eastAsia="Arial" w:cs="Arial"/>
      <w:sz w:val="11"/>
      <w:szCs w:val="11"/>
    </w:rPr>
  </w:style>
  <w:style w:type="paragraph" w:styleId="Heading21" w:customStyle="1">
    <w:name w:val="Heading #2"/>
    <w:basedOn w:val="Normal"/>
    <w:link w:val="Heading2"/>
    <w:qFormat/>
    <w:pPr>
      <w:shd w:val="clear" w:color="auto" w:fill="FFFFFF"/>
      <w:spacing w:lineRule="auto" w:line="288"/>
      <w:outlineLvl w:val="1"/>
    </w:pPr>
    <w:rPr>
      <w:rFonts w:ascii="Arial" w:hAnsi="Arial" w:eastAsia="Arial" w:cs="Arial"/>
      <w:color w:val="3C4661"/>
      <w:sz w:val="19"/>
      <w:szCs w:val="19"/>
      <w:lang w:val="en-US" w:eastAsia="en-US" w:bidi="en-U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agrobloprom.com/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LibreOffice/6.4.0.3$Windows_x86 LibreOffice_project/b0a288ab3d2d4774cb44b62f04d5d28733ac6df8</Application>
  <Pages>7</Pages>
  <Words>1275</Words>
  <Characters>8688</Characters>
  <CharactersWithSpaces>9869</CharactersWithSpaces>
  <Paragraphs>94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2020-10-02T12:01:00Z</dcterms:created>
  <dc:creator>RePack by Diakov</dc:creator>
  <dc:description/>
  <dc:language>ru-RU</dc:language>
  <cp:lastModifiedBy>User</cp:lastModifiedBy>
  <dcterms:modified xsi:type="dcterms:W3CDTF">2020-11-05T09:02:00Z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diakov.net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