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CFF" w:rsidRPr="00DE5CFF" w:rsidRDefault="00DE5CFF" w:rsidP="00DE5CFF">
      <w:pPr>
        <w:pStyle w:val="1"/>
        <w:shd w:val="clear" w:color="auto" w:fill="FFFFFF"/>
        <w:jc w:val="center"/>
        <w:rPr>
          <w:rFonts w:ascii="Arial" w:hAnsi="Arial" w:cs="Arial"/>
          <w:color w:val="343A40"/>
          <w:sz w:val="32"/>
          <w:szCs w:val="32"/>
        </w:rPr>
      </w:pPr>
      <w:proofErr w:type="spellStart"/>
      <w:r w:rsidRPr="00DE5CFF">
        <w:rPr>
          <w:rFonts w:ascii="Arial" w:hAnsi="Arial" w:cs="Arial"/>
          <w:color w:val="343A40"/>
          <w:sz w:val="32"/>
          <w:szCs w:val="32"/>
        </w:rPr>
        <w:t>Хондрофит</w:t>
      </w:r>
      <w:proofErr w:type="spellEnd"/>
      <w:r w:rsidRPr="00DE5CFF">
        <w:rPr>
          <w:rFonts w:ascii="Arial" w:hAnsi="Arial" w:cs="Arial"/>
          <w:color w:val="343A40"/>
          <w:sz w:val="32"/>
          <w:szCs w:val="32"/>
        </w:rPr>
        <w:t xml:space="preserve"> Плюс для к</w:t>
      </w:r>
      <w:bookmarkStart w:id="0" w:name="_GoBack"/>
      <w:bookmarkEnd w:id="0"/>
      <w:r w:rsidRPr="00DE5CFF">
        <w:rPr>
          <w:rFonts w:ascii="Arial" w:hAnsi="Arial" w:cs="Arial"/>
          <w:color w:val="343A40"/>
          <w:sz w:val="32"/>
          <w:szCs w:val="32"/>
        </w:rPr>
        <w:t xml:space="preserve">ошек и собак мелких пород </w:t>
      </w:r>
      <w:proofErr w:type="spellStart"/>
      <w:r w:rsidRPr="00DE5CFF">
        <w:rPr>
          <w:rFonts w:ascii="Arial" w:hAnsi="Arial" w:cs="Arial"/>
          <w:color w:val="343A40"/>
          <w:sz w:val="32"/>
          <w:szCs w:val="32"/>
        </w:rPr>
        <w:t>Хондропротектор</w:t>
      </w:r>
      <w:proofErr w:type="spellEnd"/>
      <w:r w:rsidRPr="00DE5CFF">
        <w:rPr>
          <w:rFonts w:ascii="Arial" w:hAnsi="Arial" w:cs="Arial"/>
          <w:color w:val="343A40"/>
          <w:sz w:val="32"/>
          <w:szCs w:val="32"/>
        </w:rPr>
        <w:t xml:space="preserve"> (флакон с помпой-дозатором), 200 мл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Helvetica" w:eastAsia="Times New Roman" w:hAnsi="Helvetica" w:cs="Helvetica"/>
          <w:b/>
          <w:bCs/>
          <w:color w:val="343A40"/>
          <w:sz w:val="23"/>
          <w:szCs w:val="23"/>
          <w:lang w:eastAsia="ru-RU"/>
        </w:rPr>
        <w:t>Описание: 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комплексная добавка для восстановления и нормализации работы опорно-двигательного аппарата у собак всех возрастов.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Helvetica" w:eastAsia="Times New Roman" w:hAnsi="Helvetica" w:cs="Helvetica"/>
          <w:b/>
          <w:bCs/>
          <w:color w:val="343A40"/>
          <w:sz w:val="23"/>
          <w:szCs w:val="23"/>
          <w:lang w:eastAsia="ru-RU"/>
        </w:rPr>
        <w:t>Действие: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снимает воспаление, интенсивно восстанавливает связки и хрящи при хронических заболеваниях или травмах опорно-двигательного аппарата, поддерживает организм собаки во время интенсивных физических нагрузок. Ингибирует ферменты, нарушающие структуру и функции суставного хряща, останавливает процессы дегенерации и придает эластичность хрящевой ткани, способствует регенерации хрящевых поверхностей и суставной сумки. Нормализует продукцию внутрисуставной жидкости, увеличивает подвижность и уменьшает болезненность суставов, снимает боли в состоянии покоя и при движении.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Helvetica" w:eastAsia="Times New Roman" w:hAnsi="Helvetica" w:cs="Helvetica"/>
          <w:b/>
          <w:bCs/>
          <w:color w:val="343A40"/>
          <w:sz w:val="23"/>
          <w:szCs w:val="23"/>
          <w:lang w:eastAsia="ru-RU"/>
        </w:rPr>
        <w:t>Рекомендовано: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 при травмах различного сопровождающихся воспалительными процессами (растяжения или повреждения связок и сухожилий, при вывихах, хромоте, переломах и т.п., в </w:t>
      </w:r>
      <w:proofErr w:type="spellStart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т.ч</w:t>
      </w:r>
      <w:proofErr w:type="spellEnd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 сопровождающихся отеками, воспалением, нарушением кровообращения); при хронических заболеваниях таких как артрит, артроз и т.п.; для собак всех возрастов в качестве профилактики 2-3 раза в год и в период повышенных нагрузок; а также пожилым собакам для поддержания тонуса опорно-двигательного аппарата.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Для использования в лечебных целях и при серьезных патологиях применять согласно рекомендациям ветеринарного врача.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Противопоказания: 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при гастрите, язве и других заболеваниях ЖКТ, во время беременности и в период вскармливания. Возможна индивидуальная повышенная чувствительность или непереносимость отдельных компонентов.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Дозировка и способ применения: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один раз в день, добавить необходимую дозу подкормки (см. табл.) в сухой или влажный корм, перемешать. НЕ заливать горячей водой!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1299"/>
        <w:gridCol w:w="2135"/>
        <w:gridCol w:w="1553"/>
      </w:tblGrid>
      <w:tr w:rsidR="00DE5CFF" w:rsidRPr="00DE5CFF" w:rsidTr="00DE5CF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b/>
                <w:bCs/>
                <w:color w:val="343A40"/>
                <w:sz w:val="23"/>
                <w:szCs w:val="23"/>
                <w:lang w:eastAsia="ru-RU"/>
              </w:rPr>
              <w:t>Вес собаки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b/>
                <w:bCs/>
                <w:color w:val="343A40"/>
                <w:sz w:val="23"/>
                <w:szCs w:val="23"/>
                <w:lang w:eastAsia="ru-RU"/>
              </w:rPr>
              <w:t>Дозировка в сутки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b/>
                <w:bCs/>
                <w:color w:val="343A40"/>
                <w:sz w:val="23"/>
                <w:szCs w:val="23"/>
                <w:lang w:eastAsia="ru-RU"/>
              </w:rPr>
              <w:t>Объем дозы*</w:t>
            </w:r>
          </w:p>
        </w:tc>
      </w:tr>
      <w:tr w:rsidR="00DE5CFF" w:rsidRPr="00DE5CFF" w:rsidTr="00DE5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До 5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1/2 чайной ложки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2 мл</w:t>
            </w:r>
          </w:p>
        </w:tc>
      </w:tr>
      <w:tr w:rsidR="00DE5CFF" w:rsidRPr="00DE5CFF" w:rsidTr="00DE5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5-10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1 чайная ложка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5 мл</w:t>
            </w:r>
          </w:p>
        </w:tc>
      </w:tr>
      <w:tr w:rsidR="00DE5CFF" w:rsidRPr="00DE5CFF" w:rsidTr="00DE5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10-30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2 чайные ложки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10 мл</w:t>
            </w:r>
          </w:p>
        </w:tc>
      </w:tr>
      <w:tr w:rsidR="00DE5CFF" w:rsidRPr="00DE5CFF" w:rsidTr="00DE5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30-60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3 чайные ложки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15 мл</w:t>
            </w:r>
          </w:p>
        </w:tc>
      </w:tr>
      <w:tr w:rsidR="00DE5CFF" w:rsidRPr="00DE5CFF" w:rsidTr="00DE5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Более 60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4 чайные ложки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5CFF" w:rsidRPr="00DE5CFF" w:rsidRDefault="00DE5CFF" w:rsidP="00DE5CFF">
            <w:pPr>
              <w:spacing w:after="0" w:line="240" w:lineRule="auto"/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</w:pPr>
            <w:r w:rsidRPr="00DE5CFF">
              <w:rPr>
                <w:rFonts w:ascii="Arial" w:eastAsia="Times New Roman" w:hAnsi="Arial" w:cs="Arial"/>
                <w:color w:val="343A40"/>
                <w:sz w:val="23"/>
                <w:szCs w:val="23"/>
                <w:lang w:eastAsia="ru-RU"/>
              </w:rPr>
              <w:t>20 мл</w:t>
            </w:r>
          </w:p>
        </w:tc>
      </w:tr>
    </w:tbl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*профилактическая дозировка в 2 раза меньше.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Добавку необходимо принимать минимум 30 дней подряд. Возможен постоянный прием в течение 5 месяцев, после чего необходимо сделать перерыв 2-4 недели. Далее допускается возобновление приема.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Объем: 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200мл с помпой-дозатором, 500мл с помпой-дозатором, 500мл двугорлый флакон,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1000мл двугорлый флакон.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У флакона с помпой 1 нажатие на помпу-дозатор = 1мл добавки.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У двугорлой бутылки идет мерный резервуар с дозатором нажимного типа.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lastRenderedPageBreak/>
        <w:t>Состав на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</w:t>
      </w: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1000 мл: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 глюкозамин гидрохлорид – 170г, МСМ – 100г, </w:t>
      </w:r>
      <w:proofErr w:type="spellStart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хондроитин</w:t>
      </w:r>
      <w:proofErr w:type="spellEnd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сульфат – 33г, экстракт </w:t>
      </w:r>
      <w:proofErr w:type="spellStart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мартинии</w:t>
      </w:r>
      <w:proofErr w:type="spellEnd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душистой – 13г, </w:t>
      </w:r>
      <w:proofErr w:type="spellStart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хелат</w:t>
      </w:r>
      <w:proofErr w:type="spellEnd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марганца – 7г, витамин С – 5г, </w:t>
      </w:r>
      <w:proofErr w:type="spellStart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бензоат</w:t>
      </w:r>
      <w:proofErr w:type="spellEnd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натрия – 1г, </w:t>
      </w:r>
      <w:proofErr w:type="spellStart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гиалуроновая</w:t>
      </w:r>
      <w:proofErr w:type="spellEnd"/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кислота – 1г, вода очищенная - до 1000 мл.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Условия хранения: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при температуре от +4 до +25 ˚С в сухом, защищенном от света месте. Во время хранения допускается выпадение естественного осадка. Допускается замораживание, после размораживания не теряет свои свойства.</w:t>
      </w:r>
    </w:p>
    <w:p w:rsidR="00DE5CFF" w:rsidRPr="00DE5CFF" w:rsidRDefault="00DE5CFF" w:rsidP="00DE5CF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DE5CFF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Срок годности:</w:t>
      </w:r>
      <w:r w:rsidRPr="00DE5CF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18 месяцев. После вскрытия упаковки использовать в течение 6 месяцев.</w:t>
      </w:r>
    </w:p>
    <w:p w:rsidR="000F3FF3" w:rsidRPr="00DE5CFF" w:rsidRDefault="000F3FF3" w:rsidP="00DE5CFF"/>
    <w:sectPr w:rsidR="000F3FF3" w:rsidRPr="00DE5CFF" w:rsidSect="00DE5CF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0219F"/>
    <w:multiLevelType w:val="multilevel"/>
    <w:tmpl w:val="3234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80"/>
    <w:rsid w:val="000F3FF3"/>
    <w:rsid w:val="003A5380"/>
    <w:rsid w:val="00DE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4D37A-096B-4C42-BA5C-AE4F7816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C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C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E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5C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3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2025-07-22T07:24:00Z</dcterms:created>
  <dcterms:modified xsi:type="dcterms:W3CDTF">2025-07-22T07:24:00Z</dcterms:modified>
</cp:coreProperties>
</file>